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360" w:before="0" w:after="0"/>
        <w:jc w:val="right"/>
        <w:rPr>
          <w:rFonts w:ascii="Times New Roman" w:hAnsi="Times New Roman" w:cs="Times New Roman"/>
          <w:sz w:val="24"/>
          <w:szCs w:val="24"/>
        </w:rPr>
      </w:pPr>
      <w:r>
        <w:rPr>
          <w:rFonts w:cs="Times New Roman" w:ascii="Times New Roman" w:hAnsi="Times New Roman"/>
          <w:sz w:val="24"/>
          <w:szCs w:val="24"/>
        </w:rPr>
        <w:t>Проект</w:t>
      </w:r>
    </w:p>
    <w:p>
      <w:pPr>
        <w:pStyle w:val="Normal"/>
        <w:spacing w:lineRule="atLeast"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tLeast" w:line="36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48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48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48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48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Об утверждении перечня индикаторов</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риска нарушения обязательных требований по федеральному государственному контролю (надзору) за деятельностью </w:t>
        <w:br/>
        <w:t xml:space="preserve">аккредитованных лиц </w:t>
      </w:r>
    </w:p>
    <w:p>
      <w:pPr>
        <w:pStyle w:val="Normal"/>
        <w:spacing w:lineRule="atLeast" w:line="48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24"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пунктом 1 части 10 статьи 23 Федерального закона </w:t>
        <w:br/>
        <w:t xml:space="preserve">от 31 июля 2020 г. № 248-ФЗ «О государственном контроле (надзоре) </w:t>
        <w:br/>
        <w:t>и муниципальном контроле в Российской Федерации» (Собрание законодательства Российской Федерации, 2020, № 31, ст. 5007) приказываю:</w:t>
      </w:r>
    </w:p>
    <w:p>
      <w:pPr>
        <w:pStyle w:val="Normal"/>
        <w:spacing w:lineRule="auto" w:line="324" w:before="0" w:after="0"/>
        <w:ind w:firstLine="709"/>
        <w:jc w:val="both"/>
        <w:rPr>
          <w:rFonts w:ascii="Times New Roman" w:hAnsi="Times New Roman" w:cs="Times New Roman"/>
          <w:sz w:val="28"/>
          <w:szCs w:val="28"/>
        </w:rPr>
      </w:pPr>
      <w:r>
        <w:rPr>
          <w:rFonts w:cs="Times New Roman" w:ascii="Times New Roman" w:hAnsi="Times New Roman"/>
          <w:sz w:val="28"/>
          <w:szCs w:val="28"/>
        </w:rPr>
        <w:t>1. Утвердить прилагаемый перечень индикаторов риска нарушения обязательных требований по федеральному государственному контролю (надзору) за деятельностью аккредитованных лиц.</w:t>
      </w:r>
    </w:p>
    <w:p>
      <w:pPr>
        <w:pStyle w:val="Normal"/>
        <w:spacing w:lineRule="auto" w:line="324"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 Признать утратившим силу приказ Минэкономразвития России </w:t>
        <w:br/>
        <w:t>от 28 августа 2017 г. № 437 «Об утверждении индикаторов риска нарушения обязательных требований аккредитованными лицами» (зарегистрирован Минюстом России 15 марта 2018 г., регистрационный № 50366).</w:t>
      </w:r>
    </w:p>
    <w:p>
      <w:pPr>
        <w:pStyle w:val="Normal"/>
        <w:spacing w:lineRule="auto" w:line="324" w:before="0" w:after="0"/>
        <w:ind w:firstLine="709"/>
        <w:jc w:val="both"/>
        <w:rPr>
          <w:rFonts w:ascii="Times New Roman" w:hAnsi="Times New Roman" w:cs="Times New Roman"/>
          <w:sz w:val="28"/>
          <w:szCs w:val="28"/>
        </w:rPr>
      </w:pPr>
      <w:r>
        <w:rPr>
          <w:rFonts w:cs="Times New Roman" w:ascii="Times New Roman" w:hAnsi="Times New Roman"/>
          <w:sz w:val="28"/>
          <w:szCs w:val="28"/>
        </w:rPr>
        <w:t>3. Настоящий приказ вступает в силу с 1 июля 2021 года</w:t>
      </w:r>
      <w:bookmarkStart w:id="0" w:name="_GoBack"/>
      <w:bookmarkEnd w:id="0"/>
      <w:r>
        <w:rPr>
          <w:rFonts w:cs="Times New Roman" w:ascii="Times New Roman" w:hAnsi="Times New Roman"/>
          <w:sz w:val="28"/>
          <w:szCs w:val="28"/>
        </w:rPr>
        <w:t>.</w:t>
      </w:r>
    </w:p>
    <w:p>
      <w:pPr>
        <w:pStyle w:val="Normal"/>
        <w:spacing w:lineRule="auto" w:line="324"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rPr>
      </w:r>
    </w:p>
    <w:tbl>
      <w:tblPr>
        <w:tblStyle w:val="a7"/>
        <w:tblW w:w="9638" w:type="dxa"/>
        <w:jc w:val="left"/>
        <w:tblInd w:w="0" w:type="dxa"/>
        <w:tblCellMar>
          <w:top w:w="0" w:type="dxa"/>
          <w:left w:w="108" w:type="dxa"/>
          <w:bottom w:w="0" w:type="dxa"/>
          <w:right w:w="108" w:type="dxa"/>
        </w:tblCellMar>
        <w:tblLook w:val="04a0" w:noVBand="1" w:noHBand="0" w:firstRow="1" w:lastRow="0" w:firstColumn="1" w:lastColumn="0"/>
      </w:tblPr>
      <w:tblGrid>
        <w:gridCol w:w="4811"/>
        <w:gridCol w:w="4826"/>
      </w:tblGrid>
      <w:tr>
        <w:trPr/>
        <w:tc>
          <w:tcPr>
            <w:tcW w:w="4811" w:type="dxa"/>
            <w:tcBorders>
              <w:top w:val="nil"/>
              <w:left w:val="nil"/>
              <w:bottom w:val="nil"/>
              <w:right w:val="nil"/>
            </w:tcBorders>
            <w:shd w:fill="auto" w:val="clear"/>
          </w:tcPr>
          <w:p>
            <w:pPr>
              <w:pStyle w:val="Normal"/>
              <w:spacing w:lineRule="auto" w:line="360" w:before="0" w:after="0"/>
              <w:ind w:left="-105" w:hanging="0"/>
              <w:jc w:val="both"/>
              <w:rPr>
                <w:rFonts w:ascii="Times New Roman" w:hAnsi="Times New Roman" w:cs="Times New Roman"/>
                <w:sz w:val="28"/>
                <w:szCs w:val="28"/>
              </w:rPr>
            </w:pPr>
            <w:r>
              <w:rPr>
                <w:rFonts w:cs="Times New Roman" w:ascii="Times New Roman" w:hAnsi="Times New Roman"/>
                <w:sz w:val="28"/>
                <w:szCs w:val="28"/>
              </w:rPr>
              <w:t>Министр</w:t>
            </w:r>
          </w:p>
        </w:tc>
        <w:tc>
          <w:tcPr>
            <w:tcW w:w="4826" w:type="dxa"/>
            <w:tcBorders>
              <w:top w:val="nil"/>
              <w:left w:val="nil"/>
              <w:bottom w:val="nil"/>
              <w:right w:val="nil"/>
            </w:tcBorders>
            <w:shd w:fill="auto" w:val="clear"/>
          </w:tcPr>
          <w:p>
            <w:pPr>
              <w:pStyle w:val="Normal"/>
              <w:spacing w:lineRule="auto" w:line="360" w:before="0" w:after="0"/>
              <w:ind w:right="-114" w:hanging="0"/>
              <w:jc w:val="right"/>
              <w:rPr>
                <w:rFonts w:ascii="Times New Roman" w:hAnsi="Times New Roman" w:cs="Times New Roman"/>
                <w:sz w:val="28"/>
                <w:szCs w:val="28"/>
              </w:rPr>
            </w:pPr>
            <w:r>
              <w:rPr>
                <w:rFonts w:cs="Times New Roman" w:ascii="Times New Roman" w:hAnsi="Times New Roman"/>
                <w:sz w:val="28"/>
                <w:szCs w:val="28"/>
              </w:rPr>
              <w:t>М.Г. Решетников</w:t>
            </w:r>
          </w:p>
        </w:tc>
      </w:tr>
    </w:tbl>
    <w:p>
      <w:pPr>
        <w:pStyle w:val="Normal"/>
        <w:spacing w:lineRule="atLeast" w:line="360" w:before="0" w:after="0"/>
        <w:ind w:firstLine="709"/>
        <w:jc w:val="both"/>
        <w:rPr/>
      </w:pPr>
      <w:r>
        <w:rPr/>
      </w:r>
    </w:p>
    <w:p>
      <w:pPr>
        <w:pStyle w:val="Normal"/>
        <w:spacing w:lineRule="atLeast" w:line="360" w:before="0" w:after="0"/>
        <w:ind w:firstLine="709"/>
        <w:jc w:val="both"/>
        <w:rPr/>
      </w:pPr>
      <w:r>
        <w:rPr/>
      </w:r>
    </w:p>
    <w:p>
      <w:pPr>
        <w:pStyle w:val="Normal"/>
        <w:spacing w:lineRule="atLeast" w:line="360" w:before="0" w:after="0"/>
        <w:ind w:firstLine="709"/>
        <w:jc w:val="both"/>
        <w:rPr/>
      </w:pPr>
      <w:r>
        <w:rPr/>
      </w:r>
    </w:p>
    <w:p>
      <w:pPr>
        <w:pStyle w:val="Normal"/>
        <w:spacing w:lineRule="atLeast" w:line="360" w:before="0" w:after="0"/>
        <w:ind w:firstLine="709"/>
        <w:jc w:val="both"/>
        <w:rPr/>
      </w:pPr>
      <w:r>
        <w:rPr/>
      </w:r>
    </w:p>
    <w:p>
      <w:pPr>
        <w:pStyle w:val="Normal"/>
        <w:spacing w:lineRule="atLeast" w:line="360" w:before="0" w:after="0"/>
        <w:ind w:firstLine="709"/>
        <w:jc w:val="both"/>
        <w:rPr/>
      </w:pPr>
      <w:r>
        <w:rPr/>
      </w:r>
    </w:p>
    <w:p>
      <w:pPr>
        <w:sectPr>
          <w:type w:val="nextPage"/>
          <w:pgSz w:w="11906" w:h="16838"/>
          <w:pgMar w:left="1701" w:right="567" w:header="0" w:top="1134" w:footer="0" w:bottom="1134" w:gutter="0"/>
          <w:pgNumType w:fmt="decimal"/>
          <w:formProt w:val="false"/>
          <w:textDirection w:val="lrTb"/>
          <w:docGrid w:type="default" w:linePitch="360" w:charSpace="4096"/>
        </w:sectPr>
        <w:pStyle w:val="Normal"/>
        <w:spacing w:lineRule="atLeast" w:line="360" w:before="0" w:after="0"/>
        <w:ind w:firstLine="709"/>
        <w:jc w:val="both"/>
        <w:rPr/>
      </w:pPr>
      <w:r>
        <w:rPr/>
      </w:r>
    </w:p>
    <w:p>
      <w:pPr>
        <w:pStyle w:val="Normal"/>
        <w:spacing w:before="0" w:after="0"/>
        <w:ind w:firstLine="709"/>
        <w:jc w:val="right"/>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firstLine="4536"/>
        <w:jc w:val="center"/>
        <w:outlineLvl w:val="0"/>
        <w:rPr/>
      </w:pPr>
      <w:r>
        <w:rPr>
          <w:rFonts w:cs="Times New Roman" w:ascii="Times New Roman" w:hAnsi="Times New Roman"/>
          <w:sz w:val="28"/>
          <w:szCs w:val="28"/>
        </w:rPr>
        <w:t>ПРИЛОЖЕНИЕ № 1</w:t>
      </w:r>
    </w:p>
    <w:p>
      <w:pPr>
        <w:pStyle w:val="Normal"/>
        <w:spacing w:lineRule="auto" w:line="240" w:before="0" w:after="0"/>
        <w:ind w:firstLine="4536"/>
        <w:jc w:val="center"/>
        <w:rPr/>
      </w:pPr>
      <w:r>
        <w:rPr>
          <w:rFonts w:cs="Times New Roman" w:ascii="Times New Roman" w:hAnsi="Times New Roman"/>
          <w:sz w:val="28"/>
          <w:szCs w:val="28"/>
        </w:rPr>
        <w:t>к приказу Минэкономразвития России</w:t>
      </w:r>
    </w:p>
    <w:p>
      <w:pPr>
        <w:pStyle w:val="Normal"/>
        <w:spacing w:lineRule="auto" w:line="240" w:before="0" w:after="0"/>
        <w:ind w:firstLine="4536"/>
        <w:jc w:val="center"/>
        <w:rPr/>
      </w:pPr>
      <w:r>
        <w:rPr>
          <w:rFonts w:cs="Times New Roman" w:ascii="Times New Roman" w:hAnsi="Times New Roman"/>
          <w:sz w:val="28"/>
          <w:szCs w:val="28"/>
        </w:rPr>
        <w:t>от _____________ №_____</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bookmarkStart w:id="1" w:name="Par12"/>
      <w:bookmarkStart w:id="2" w:name="Par12"/>
      <w:bookmarkEnd w:id="2"/>
    </w:p>
    <w:p>
      <w:pPr>
        <w:pStyle w:val="Normal"/>
        <w:spacing w:lineRule="auto" w:line="240" w:before="0" w:after="0"/>
        <w:ind w:firstLine="709"/>
        <w:rPr/>
      </w:pPr>
      <w:r>
        <w:rPr>
          <w:rFonts w:cs="Times New Roman" w:ascii="Times New Roman" w:hAnsi="Times New Roman"/>
          <w:b/>
          <w:sz w:val="28"/>
          <w:szCs w:val="28"/>
        </w:rPr>
        <w:t xml:space="preserve">                                              </w:t>
      </w:r>
      <w:r>
        <w:rPr>
          <w:rFonts w:cs="Times New Roman" w:ascii="Times New Roman" w:hAnsi="Times New Roman"/>
          <w:b/>
          <w:sz w:val="28"/>
          <w:szCs w:val="28"/>
        </w:rPr>
        <w:t xml:space="preserve">ПЕРЕЧЕНЬ </w:t>
      </w:r>
    </w:p>
    <w:p>
      <w:pPr>
        <w:pStyle w:val="Normal"/>
        <w:spacing w:lineRule="auto" w:line="240" w:before="0" w:after="0"/>
        <w:ind w:firstLine="709"/>
        <w:jc w:val="center"/>
        <w:rPr/>
      </w:pPr>
      <w:r>
        <w:rPr>
          <w:rFonts w:cs="Times New Roman" w:ascii="Times New Roman" w:hAnsi="Times New Roman"/>
          <w:b/>
          <w:sz w:val="28"/>
          <w:szCs w:val="28"/>
        </w:rPr>
        <w:t xml:space="preserve">индикаторов риска нарушения обязательных требований </w:t>
        <w:br/>
        <w:t xml:space="preserve">по федеральному государственному контролю (надзору) </w:t>
        <w:br/>
        <w:t xml:space="preserve">за деятельностью аккредитованных лиц </w:t>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spacing w:lineRule="auto" w:line="312" w:before="0" w:after="0"/>
        <w:ind w:firstLine="708"/>
        <w:jc w:val="both"/>
        <w:rPr/>
      </w:pPr>
      <w:r>
        <w:rPr>
          <w:rFonts w:cs="Times New Roman" w:ascii="Times New Roman" w:hAnsi="Times New Roman"/>
          <w:sz w:val="28"/>
          <w:szCs w:val="28"/>
        </w:rPr>
        <w:t>1. Настоящий перечень индикаторов риска нарушения обязательных требований по федеральному государственному контролю (надзору)</w:t>
        <w:br/>
        <w:t>за деятельностью аккредитованных лиц (далее – индикаторы риска) устанавливает индикаторы риска, выявление одного из которых является основанием для принятия Росаккредитацией решения о проведении контрольного (надзорного) мероприятия в рамках федерального государственного контроля (надзора) за деятельностью аккредитованных лиц.</w:t>
      </w:r>
    </w:p>
    <w:p>
      <w:pPr>
        <w:pStyle w:val="Normal"/>
        <w:suppressAutoHyphens w:val="true"/>
        <w:spacing w:lineRule="auto" w:line="312" w:before="0" w:after="0"/>
        <w:ind w:firstLine="708"/>
        <w:jc w:val="both"/>
        <w:rPr/>
      </w:pPr>
      <w:r>
        <w:rPr>
          <w:rFonts w:cs="Times New Roman" w:ascii="Times New Roman" w:hAnsi="Times New Roman"/>
          <w:sz w:val="28"/>
          <w:szCs w:val="28"/>
        </w:rPr>
        <w:t>2. К индикаторам риска, указанным в пункте 1 настоящего Перечня, относятся:</w:t>
      </w:r>
    </w:p>
    <w:p>
      <w:pPr>
        <w:pStyle w:val="Normal"/>
        <w:suppressAutoHyphens w:val="true"/>
        <w:spacing w:lineRule="auto" w:line="312" w:before="0" w:after="0"/>
        <w:ind w:firstLine="708"/>
        <w:jc w:val="both"/>
        <w:rPr/>
      </w:pPr>
      <w:r>
        <w:rPr>
          <w:rFonts w:cs="Times New Roman" w:ascii="Times New Roman" w:hAnsi="Times New Roman"/>
          <w:sz w:val="28"/>
          <w:szCs w:val="28"/>
        </w:rPr>
        <w:t xml:space="preserve">2.1. Непоступление в Росаккредитацию в течение трех месяцев аккредитованного в национальной системе аккредитации органа по сертификации (далее – орган по сертификации) сведений о выданных им сертификатах соответствия, зарегистрированных декларациях о соответствии, порядок и сроки представления которых с использованием федеральной государственной информационной системы в области аккредитации (далее – ФГИС Росаккредитации) предусмотрены в соответствии с пунктом 2 части 1 статьи 13 Федерального закона от 28.12.2013 № 412-ФЗ «Об аккредитации </w:t>
        <w:br/>
        <w:t>в национальной системе аккредитации» (Собрание законодательства Российской Федерации, 2013, № 52, ст. 6977; 2018, № 31, ст. 4851) (далее – Федеральный закон № 412-ФЗ).</w:t>
      </w:r>
    </w:p>
    <w:p>
      <w:pPr>
        <w:pStyle w:val="Normal"/>
        <w:suppressAutoHyphens w:val="true"/>
        <w:spacing w:lineRule="auto" w:line="312" w:before="0" w:after="0"/>
        <w:ind w:firstLine="708"/>
        <w:jc w:val="both"/>
        <w:rPr/>
      </w:pPr>
      <w:r>
        <w:rPr>
          <w:rFonts w:cs="Times New Roman" w:ascii="Times New Roman" w:hAnsi="Times New Roman"/>
          <w:sz w:val="28"/>
          <w:szCs w:val="28"/>
        </w:rPr>
        <w:t xml:space="preserve">2.2. Непоступление в Росаккредитацию в течение трех месяцев </w:t>
        <w:br/>
        <w:t xml:space="preserve">от аккредитованной в национальной системе аккредитации испытательной лаборатории (центра) сведений о проведенных исследованиях (испытаниях) </w:t>
        <w:br/>
        <w:t>и измерениях, порядок и сроки представления которых с использованием ФГИС Росаккредитации предусмотрены в соответствии с пунктом 2 части 1 статьи 13 Федерального закона № 412-ФЗ.</w:t>
      </w:r>
    </w:p>
    <w:p>
      <w:pPr>
        <w:pStyle w:val="Normal"/>
        <w:suppressAutoHyphens w:val="true"/>
        <w:spacing w:lineRule="auto" w:line="312" w:before="0" w:after="0"/>
        <w:ind w:firstLine="708"/>
        <w:jc w:val="both"/>
        <w:rPr/>
      </w:pPr>
      <w:r>
        <w:rPr>
          <w:rFonts w:cs="Times New Roman" w:ascii="Times New Roman" w:hAnsi="Times New Roman"/>
          <w:sz w:val="28"/>
          <w:szCs w:val="28"/>
        </w:rPr>
        <w:t xml:space="preserve">2.3. Двукратный и более рост количества выданных аккредитованным </w:t>
        <w:br/>
        <w:t>в национальной системе аккредитации лицом (далее – аккредитованное лицо) сертификатов соответствия или отчетов об испытаниях (протоколов испытаний) (иных документов в случае если в соответствии</w:t>
        <w:br/>
        <w:t>с законодательством Российской Федерации, устанавливающим требования</w:t>
        <w:br/>
        <w:t>к проведению соответствующих испытаний, или техническими регламентами Евразийского экономического союза (техническими регламентами Таможенного союза) установлено, что испытательная лаборатория (центр) проводит экспертизу или иные виды работ с выдачей соответствующего документа по итогам таких работ), либо результатов поверки средств измерений за единицу времени (месяц, квартал, полугодие или календарный год) в сравнении с предшествующим периодом (месяц, квартал, полугодие или календарный год).</w:t>
      </w:r>
    </w:p>
    <w:p>
      <w:pPr>
        <w:pStyle w:val="Normal"/>
        <w:suppressAutoHyphens w:val="true"/>
        <w:spacing w:lineRule="auto" w:line="312" w:before="0" w:after="0"/>
        <w:ind w:firstLine="708"/>
        <w:jc w:val="both"/>
        <w:rPr/>
      </w:pPr>
      <w:r>
        <w:rPr>
          <w:rFonts w:cs="Times New Roman" w:ascii="Times New Roman" w:hAnsi="Times New Roman"/>
          <w:sz w:val="28"/>
          <w:szCs w:val="28"/>
        </w:rPr>
        <w:t>2.4. Двукратное и более превышение средних для аккредитованного лица с аналогичной областью аккредитации, численным составом работников, участвующих в выполнении работ по подтверждению соответствия или выполняющих работы по исследованиям (испытаниям) и измерениям</w:t>
        <w:br/>
        <w:t>в области аккредитации, и его технической оснащенности показателей количества выданных сертификатов соответствия или отчетов об испытаниях (протоколов испытаний) (иных документов в случае если в соответствии</w:t>
        <w:br/>
        <w:t>с законодательством Российской Федерации, устанавливающим требования</w:t>
        <w:br/>
        <w:t>к проведению соответствующих испытаний, или техническими регламентами Евразийского экономического союза (техническими регламентами Таможенного союза) установлено, что испытательная лаборатория (центр) проводит экспертизу или иные виды работ с выдачей соответствующего документа по итогам таких работ), или результатов поверки средств измерений за период времени (месяц, квартал, полугодие или календарный год), определяемых Росаккредитацией.</w:t>
      </w:r>
    </w:p>
    <w:p>
      <w:pPr>
        <w:pStyle w:val="Normal"/>
        <w:suppressAutoHyphens w:val="true"/>
        <w:spacing w:lineRule="auto" w:line="312" w:before="0" w:after="0"/>
        <w:ind w:firstLine="708"/>
        <w:jc w:val="both"/>
        <w:rPr/>
      </w:pPr>
      <w:r>
        <w:rPr>
          <w:rFonts w:cs="Times New Roman" w:ascii="Times New Roman" w:hAnsi="Times New Roman"/>
          <w:sz w:val="28"/>
          <w:szCs w:val="28"/>
        </w:rPr>
        <w:t>2.5. Выдача органом по сертификации сертификата соответствия в срок, не обеспечивающий соблюдение правил выполнения работ по сертификации, установленных в соответствии с законодательством Российской Федерации</w:t>
        <w:br/>
        <w:t>и правом Евразийского экономического союза (в том числе с учетом оценки соблюдения одного или нескольких сроков процедур, необходимых для отбора образцов, проб, идентификации продукции, проведения инспекционного контроля, проведения исследований (испытаний) и измерений).</w:t>
      </w:r>
    </w:p>
    <w:p>
      <w:pPr>
        <w:pStyle w:val="Normal"/>
        <w:suppressAutoHyphens w:val="true"/>
        <w:spacing w:lineRule="auto" w:line="312" w:before="0" w:after="0"/>
        <w:ind w:firstLine="708"/>
        <w:jc w:val="both"/>
        <w:rPr/>
      </w:pPr>
      <w:r>
        <w:rPr>
          <w:rFonts w:cs="Times New Roman" w:ascii="Times New Roman" w:hAnsi="Times New Roman"/>
          <w:sz w:val="28"/>
          <w:szCs w:val="28"/>
        </w:rPr>
        <w:t>2.6. Изменение (увольнение, прием на работу) половины и более персонального состава работников в сравнении с персональным составом работников, работавших в аккредитованном лице по состоянию на дату проведения последней по времени процедуры оценки соответствия заявителя, аккредитованного лица критериям аккредитации или проверки аккредитованного лица при осуществлении федерального государственного контроля (надзора) за деятельностью аккредитованных лиц.</w:t>
      </w:r>
    </w:p>
    <w:p>
      <w:pPr>
        <w:pStyle w:val="Normal"/>
        <w:suppressAutoHyphens w:val="true"/>
        <w:spacing w:lineRule="auto" w:line="312" w:before="0" w:after="0"/>
        <w:ind w:firstLine="708"/>
        <w:jc w:val="both"/>
        <w:rPr/>
      </w:pPr>
      <w:r>
        <w:rPr>
          <w:rFonts w:cs="Times New Roman" w:ascii="Times New Roman" w:hAnsi="Times New Roman"/>
          <w:sz w:val="28"/>
          <w:szCs w:val="28"/>
        </w:rPr>
        <w:t>2.7. Наличие фактов выдачи аккредитованным в национальной системе аккредитации органом по сертификации сертификатов соответствия</w:t>
        <w:br/>
        <w:t xml:space="preserve">на основании протоколов исследований (испытаний) и измерений аккредитованной в национальной системе аккредитации испытательной лаборатории (центра), в отношении которой Росаккредитацией установлено одно из нарушений требований законодательства Российской Федерации </w:t>
        <w:br/>
        <w:t>к деятельности аккредитованных лиц, заключающиеся в:</w:t>
      </w:r>
    </w:p>
    <w:p>
      <w:pPr>
        <w:pStyle w:val="Normal"/>
        <w:suppressAutoHyphens w:val="true"/>
        <w:spacing w:lineRule="auto" w:line="312" w:before="0" w:after="0"/>
        <w:ind w:firstLine="708"/>
        <w:jc w:val="both"/>
        <w:rPr/>
      </w:pPr>
      <w:r>
        <w:rPr>
          <w:rFonts w:cs="Times New Roman" w:ascii="Times New Roman" w:hAnsi="Times New Roman"/>
          <w:sz w:val="28"/>
          <w:szCs w:val="28"/>
        </w:rPr>
        <w:t xml:space="preserve">отсутствии аккредитованной в национальной системе аккредитации испытательной лаборатории (центра) по месту осуществления деятельности </w:t>
        <w:br/>
        <w:t>в области аккредитации;</w:t>
      </w:r>
    </w:p>
    <w:p>
      <w:pPr>
        <w:pStyle w:val="Normal"/>
        <w:suppressAutoHyphens w:val="true"/>
        <w:spacing w:lineRule="auto" w:line="312" w:before="0" w:after="0"/>
        <w:ind w:firstLine="708"/>
        <w:jc w:val="both"/>
        <w:rPr/>
      </w:pPr>
      <w:r>
        <w:rPr>
          <w:rFonts w:cs="Times New Roman" w:ascii="Times New Roman" w:hAnsi="Times New Roman"/>
          <w:sz w:val="28"/>
          <w:szCs w:val="28"/>
        </w:rPr>
        <w:t>выдаче аккредитованной в национальной системе аккредитации испытательной лабораторией (центром) протоколов исследований (испытаний) и измерений без фактического их проведения, а равно</w:t>
        <w:br/>
        <w:t>с нарушением обязательных требований в области технического регулирования к их проведению.</w:t>
      </w:r>
    </w:p>
    <w:p>
      <w:pPr>
        <w:pStyle w:val="Normal"/>
        <w:suppressAutoHyphens w:val="true"/>
        <w:spacing w:lineRule="auto" w:line="312" w:before="0" w:after="0"/>
        <w:ind w:firstLine="708"/>
        <w:jc w:val="both"/>
        <w:rPr/>
      </w:pPr>
      <w:r>
        <w:rPr>
          <w:rFonts w:cs="Times New Roman" w:ascii="Times New Roman" w:hAnsi="Times New Roman"/>
          <w:sz w:val="28"/>
          <w:szCs w:val="28"/>
        </w:rPr>
        <w:t>2.8. Наличие по месту осуществления деятельности одного аккредитованного лица места осуществления деятельности иного аккредитованного лица с аналогичной областью аккредитации.</w:t>
      </w:r>
    </w:p>
    <w:p>
      <w:pPr>
        <w:pStyle w:val="Normal"/>
        <w:suppressAutoHyphens w:val="true"/>
        <w:spacing w:lineRule="auto" w:line="312"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bookmarkStart w:id="3" w:name="_GoBack1"/>
      <w:bookmarkStart w:id="4" w:name="_GoBack1"/>
      <w:bookmarkEnd w:id="4"/>
    </w:p>
    <w:p>
      <w:pPr>
        <w:pStyle w:val="Normal"/>
        <w:spacing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9"/>
        <w:jc w:val="center"/>
        <w:rPr/>
      </w:pPr>
      <w:r>
        <w:rPr>
          <w:rFonts w:cs="Times New Roman" w:ascii="Times New Roman" w:hAnsi="Times New Roman"/>
          <w:sz w:val="28"/>
          <w:szCs w:val="28"/>
        </w:rPr>
        <w:t>______________</w:t>
      </w:r>
    </w:p>
    <w:p>
      <w:pPr>
        <w:pStyle w:val="Normal"/>
        <w:spacing w:lineRule="atLeast" w:line="360" w:before="0" w:after="0"/>
        <w:ind w:firstLine="709"/>
        <w:jc w:val="both"/>
        <w:rPr/>
      </w:pPr>
      <w:r>
        <w:rPr/>
      </w:r>
    </w:p>
    <w:sectPr>
      <w:headerReference w:type="default" r:id="rId2"/>
      <w:type w:val="nextPage"/>
      <w:pgSz w:w="11906" w:h="16838"/>
      <w:pgMar w:left="1701" w:right="567" w:header="709"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62176579"/>
    </w:sdtPr>
    <w:sdtContent>
      <w:p>
        <w:pPr>
          <w:pStyle w:val="Style21"/>
          <w:jc w:val="center"/>
          <w:rPr>
            <w:rFonts w:ascii="Times New Roman" w:hAnsi="Times New Roman" w:cs="Times New Roman"/>
            <w:sz w:val="24"/>
            <w:szCs w:val="24"/>
          </w:rPr>
        </w:pPr>
        <w:r>
          <w:rPr/>
        </w:r>
      </w:p>
    </w:sdtContent>
  </w:sdt>
  <w:p>
    <w:pPr>
      <w:pStyle w:val="Style21"/>
      <w:rPr/>
    </w:pPr>
    <w:r>
      <w:rPr/>
    </w:r>
  </w:p>
</w:hdr>
</file>

<file path=word/settings.xml><?xml version="1.0" encoding="utf-8"?>
<w:settings xmlns:w="http://schemas.openxmlformats.org/wordprocessingml/2006/main">
  <w:zoom w:percent="78"/>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d82e75"/>
    <w:rPr/>
  </w:style>
  <w:style w:type="character" w:styleId="Style15" w:customStyle="1">
    <w:name w:val="Нижний колонтитул Знак"/>
    <w:basedOn w:val="DefaultParagraphFont"/>
    <w:link w:val="a5"/>
    <w:uiPriority w:val="99"/>
    <w:qFormat/>
    <w:rsid w:val="00d82e75"/>
    <w:rPr/>
  </w:style>
  <w:style w:type="paragraph" w:styleId="Style16">
    <w:name w:val="Заголовок"/>
    <w:basedOn w:val="Normal"/>
    <w:next w:val="Style17"/>
    <w:qFormat/>
    <w:pPr>
      <w:keepNext w:val="true"/>
      <w:spacing w:before="240" w:after="120"/>
    </w:pPr>
    <w:rPr>
      <w:rFonts w:ascii="Liberation Sans" w:hAnsi="Liberation Sans" w:eastAsia="Droid Sans Fallback" w:cs="Droid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Droid Sans Devanagari"/>
    </w:rPr>
  </w:style>
  <w:style w:type="paragraph" w:styleId="Style19">
    <w:name w:val="Caption"/>
    <w:basedOn w:val="Normal"/>
    <w:qFormat/>
    <w:pPr>
      <w:suppressLineNumbers/>
      <w:spacing w:before="120" w:after="120"/>
    </w:pPr>
    <w:rPr>
      <w:rFonts w:cs="Droid Sans Devanagari"/>
      <w:i/>
      <w:iCs/>
      <w:sz w:val="24"/>
      <w:szCs w:val="24"/>
    </w:rPr>
  </w:style>
  <w:style w:type="paragraph" w:styleId="Style20">
    <w:name w:val="Указатель"/>
    <w:basedOn w:val="Normal"/>
    <w:qFormat/>
    <w:pPr>
      <w:suppressLineNumbers/>
    </w:pPr>
    <w:rPr>
      <w:rFonts w:cs="Droid Sans Devanagari"/>
    </w:rPr>
  </w:style>
  <w:style w:type="paragraph" w:styleId="Style21">
    <w:name w:val="Header"/>
    <w:basedOn w:val="Normal"/>
    <w:link w:val="a4"/>
    <w:uiPriority w:val="99"/>
    <w:unhideWhenUsed/>
    <w:rsid w:val="00d82e75"/>
    <w:pPr>
      <w:tabs>
        <w:tab w:val="clear" w:pos="708"/>
        <w:tab w:val="center" w:pos="4677" w:leader="none"/>
        <w:tab w:val="right" w:pos="9355" w:leader="none"/>
      </w:tabs>
      <w:spacing w:lineRule="auto" w:line="240" w:before="0" w:after="0"/>
    </w:pPr>
    <w:rPr/>
  </w:style>
  <w:style w:type="paragraph" w:styleId="Style22">
    <w:name w:val="Footer"/>
    <w:basedOn w:val="Normal"/>
    <w:link w:val="a6"/>
    <w:uiPriority w:val="99"/>
    <w:unhideWhenUsed/>
    <w:rsid w:val="00d82e75"/>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e8063b"/>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f71cb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LibreOffice/6.2.8.2$Linux_X86_64 LibreOffice_project/20$Build-2</Application>
  <Pages>4</Pages>
  <Words>768</Words>
  <Characters>5840</Characters>
  <CharactersWithSpaces>6647</CharactersWithSpaces>
  <Paragraphs>27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2021-04-22T09:09:00Z</dcterms:created>
  <dc:creator>Бурлак Андрей Александрович</dc:creator>
  <dc:description/>
  <dc:language>ru-RU</dc:language>
  <cp:lastModifiedBy/>
  <cp:lastPrinted>2016-09-09T15:15:00Z</cp:lastPrinted>
  <dcterms:modified xsi:type="dcterms:W3CDTF">2021-05-07T19:45:37Z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